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/>
      </w:pPr>
      <w:r>
        <w:rPr/>
      </w:r>
    </w:p>
    <w:tbl>
      <w:tblPr>
        <w:tblStyle w:val="Table1"/>
        <w:tblW w:w="900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3795"/>
        <w:gridCol w:w="5204"/>
      </w:tblGrid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Paradigmatische Einordnung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Die kognitivistische Persönlichkeitsauffassung von MISCHEL und BANDURA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Grundannahmen, zentrale Gegenstände, elementare Begriffe (Lerngesetze; Konditionierungstheorie etc.) und Zusammenhänge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reziproker Determinismus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Selbstwirksamkeit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Lernen durch Beobachtung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Interaktionen im sozialem Umfeld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Modelllernen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Kompetenzen, Fertigkeiten, Ziele und Bewertungsmaßstäbe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Entwicklungsaspekte, Fehlentwicklungen, Störungen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Modelllernen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Entwicklung kognitiver Prozesse und Selbstwirksamkeit entstehen durch Beobachtungslernen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unangemessene Verhaltensweisen durch Modelle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kein Entwicklungsfreiraum durch die Umwelt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Methoden, Forschungsprinzipien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Banduras Bobo Doll Experiment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empirisch erworbene Daten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Ablehnung von Erfassung von  Persönlichkeitseigenschaften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 xml:space="preserve">Menschenbild 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nicht fremdgesteuert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selbständig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Menschen werden weder durch angeborene Kräfte getrieben, noch sind sie den Umwelteinflüssen hilflos ausgesetzt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Beobachter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aktiver Problemlöser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zielgesteuert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Handeln mit Plan und Ziel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 xml:space="preserve">- zeitlange 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Zeitlich-kulturelle Einordnung (Einflüsse, Abgrenzung zur Psychoanalyse)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- 1960er „kognitive Wende“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die Individualität des Einzelnen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u w:val="none"/>
              </w:rPr>
              <w:t>- Grenzt sich von Psychoanalyse Freuds und Watson und Skinners radikalem Behaviorismus ab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Bewertung: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Kritische Aspekte?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Widerspruchsfreiheit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Überprüfbarkeit und Bandbreite?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Sparsamkeit?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/>
              <w:t>Relevanz für die Forschung?</w:t>
            </w:r>
          </w:p>
        </w:tc>
        <w:tc>
          <w:tcPr>
            <w:tcW w:w="5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>- Emotionen werden nicht betrachtet -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>- empirische Verankerung durch Experimente/Tests +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>- unmöglich die gesamte Persönlichkeitsentwicklung zu dokumentieren und nach zu vollziehen -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>- schlüssig, logisch, bewiesen +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 xml:space="preserve">- nur </w:t>
            </w:r>
            <w:r>
              <w:rPr>
                <w:i w:val="false"/>
                <w:iCs w:val="false"/>
                <w:u w:val="none"/>
              </w:rPr>
              <w:t>Kinder wurden beobachtet -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contextualSpacing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contextualSpacing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de" w:eastAsia="zh-CN" w:bidi="hi-IN"/>
    </w:rPr>
  </w:style>
  <w:style w:type="paragraph" w:styleId="Berschrift1">
    <w:name w:val="Heading 1"/>
    <w:next w:val="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de" w:eastAsia="zh-CN" w:bidi="hi-IN"/>
    </w:rPr>
  </w:style>
  <w:style w:type="paragraph" w:styleId="Berschrift2">
    <w:name w:val="Heading 2"/>
    <w:next w:val="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de" w:eastAsia="zh-CN" w:bidi="hi-IN"/>
    </w:rPr>
  </w:style>
  <w:style w:type="paragraph" w:styleId="Berschrift3">
    <w:name w:val="Heading 3"/>
    <w:next w:val="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de" w:eastAsia="zh-CN" w:bidi="hi-IN"/>
    </w:rPr>
  </w:style>
  <w:style w:type="paragraph" w:styleId="Berschrift4">
    <w:name w:val="Heading 4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de" w:eastAsia="zh-CN" w:bidi="hi-IN"/>
    </w:rPr>
  </w:style>
  <w:style w:type="paragraph" w:styleId="Berschrift5">
    <w:name w:val="Heading 5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de" w:eastAsia="zh-CN" w:bidi="hi-IN"/>
    </w:rPr>
  </w:style>
  <w:style w:type="paragraph" w:styleId="Berschrift6">
    <w:name w:val="Heading 6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de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OpenSymbol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OpenSymbol"/>
      <w:u w:val="none"/>
    </w:rPr>
  </w:style>
  <w:style w:type="character" w:styleId="ListLabel84">
    <w:name w:val="ListLabel 84"/>
    <w:qFormat/>
    <w:rPr>
      <w:rFonts w:cs="OpenSymbol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OpenSymbol"/>
      <w:u w:val="none"/>
    </w:rPr>
  </w:style>
  <w:style w:type="character" w:styleId="ListLabel87">
    <w:name w:val="ListLabel 87"/>
    <w:qFormat/>
    <w:rPr>
      <w:rFonts w:cs="OpenSymbol"/>
      <w:u w:val="none"/>
    </w:rPr>
  </w:style>
  <w:style w:type="character" w:styleId="ListLabel88">
    <w:name w:val="ListLabel 88"/>
    <w:qFormat/>
    <w:rPr>
      <w:rFonts w:cs="OpenSymbol"/>
      <w:u w:val="none"/>
    </w:rPr>
  </w:style>
  <w:style w:type="character" w:styleId="ListLabel89">
    <w:name w:val="ListLabel 89"/>
    <w:qFormat/>
    <w:rPr>
      <w:rFonts w:cs="OpenSymbol"/>
      <w:u w:val="none"/>
    </w:rPr>
  </w:style>
  <w:style w:type="character" w:styleId="ListLabel90">
    <w:name w:val="ListLabel 90"/>
    <w:qFormat/>
    <w:rPr>
      <w:rFonts w:cs="OpenSymbol"/>
      <w:u w:val="none"/>
    </w:rPr>
  </w:style>
  <w:style w:type="character" w:styleId="ListLabel91">
    <w:name w:val="ListLabel 91"/>
    <w:qFormat/>
    <w:rPr>
      <w:rFonts w:cs="OpenSymbol"/>
      <w:u w:val="none"/>
    </w:rPr>
  </w:style>
  <w:style w:type="character" w:styleId="ListLabel92">
    <w:name w:val="ListLabel 92"/>
    <w:qFormat/>
    <w:rPr>
      <w:rFonts w:cs="OpenSymbol"/>
      <w:u w:val="none"/>
    </w:rPr>
  </w:style>
  <w:style w:type="character" w:styleId="ListLabel93">
    <w:name w:val="ListLabel 93"/>
    <w:qFormat/>
    <w:rPr>
      <w:rFonts w:cs="OpenSymbol"/>
      <w:u w:val="none"/>
    </w:rPr>
  </w:style>
  <w:style w:type="character" w:styleId="ListLabel94">
    <w:name w:val="ListLabel 94"/>
    <w:qFormat/>
    <w:rPr>
      <w:rFonts w:cs="OpenSymbol"/>
      <w:u w:val="none"/>
    </w:rPr>
  </w:style>
  <w:style w:type="character" w:styleId="ListLabel95">
    <w:name w:val="ListLabel 95"/>
    <w:qFormat/>
    <w:rPr>
      <w:rFonts w:cs="OpenSymbol"/>
      <w:u w:val="none"/>
    </w:rPr>
  </w:style>
  <w:style w:type="character" w:styleId="ListLabel96">
    <w:name w:val="ListLabel 96"/>
    <w:qFormat/>
    <w:rPr>
      <w:rFonts w:cs="OpenSymbol"/>
      <w:u w:val="none"/>
    </w:rPr>
  </w:style>
  <w:style w:type="character" w:styleId="ListLabel97">
    <w:name w:val="ListLabel 97"/>
    <w:qFormat/>
    <w:rPr>
      <w:rFonts w:cs="OpenSymbol"/>
      <w:u w:val="none"/>
    </w:rPr>
  </w:style>
  <w:style w:type="character" w:styleId="ListLabel98">
    <w:name w:val="ListLabel 98"/>
    <w:qFormat/>
    <w:rPr>
      <w:rFonts w:cs="OpenSymbol"/>
      <w:u w:val="none"/>
    </w:rPr>
  </w:style>
  <w:style w:type="character" w:styleId="ListLabel99">
    <w:name w:val="ListLabel 99"/>
    <w:qFormat/>
    <w:rPr>
      <w:rFonts w:cs="OpenSymbol"/>
      <w:u w:val="none"/>
    </w:rPr>
  </w:style>
  <w:style w:type="character" w:styleId="ListLabel100">
    <w:name w:val="ListLabel 100"/>
    <w:qFormat/>
    <w:rPr>
      <w:rFonts w:cs="OpenSymbol"/>
      <w:u w:val="none"/>
    </w:rPr>
  </w:style>
  <w:style w:type="character" w:styleId="ListLabel101">
    <w:name w:val="ListLabel 101"/>
    <w:qFormat/>
    <w:rPr>
      <w:rFonts w:cs="OpenSymbol"/>
      <w:u w:val="none"/>
    </w:rPr>
  </w:style>
  <w:style w:type="character" w:styleId="ListLabel102">
    <w:name w:val="ListLabel 102"/>
    <w:qFormat/>
    <w:rPr>
      <w:rFonts w:cs="OpenSymbol"/>
      <w:u w:val="none"/>
    </w:rPr>
  </w:style>
  <w:style w:type="character" w:styleId="ListLabel103">
    <w:name w:val="ListLabel 103"/>
    <w:qFormat/>
    <w:rPr>
      <w:rFonts w:cs="OpenSymbol"/>
      <w:u w:val="none"/>
    </w:rPr>
  </w:style>
  <w:style w:type="character" w:styleId="ListLabel104">
    <w:name w:val="ListLabel 104"/>
    <w:qFormat/>
    <w:rPr>
      <w:rFonts w:cs="OpenSymbol"/>
      <w:u w:val="none"/>
    </w:rPr>
  </w:style>
  <w:style w:type="character" w:styleId="ListLabel105">
    <w:name w:val="ListLabel 105"/>
    <w:qFormat/>
    <w:rPr>
      <w:rFonts w:cs="OpenSymbol"/>
      <w:u w:val="none"/>
    </w:rPr>
  </w:style>
  <w:style w:type="character" w:styleId="ListLabel106">
    <w:name w:val="ListLabel 106"/>
    <w:qFormat/>
    <w:rPr>
      <w:rFonts w:cs="OpenSymbol"/>
      <w:u w:val="none"/>
    </w:rPr>
  </w:style>
  <w:style w:type="character" w:styleId="ListLabel107">
    <w:name w:val="ListLabel 107"/>
    <w:qFormat/>
    <w:rPr>
      <w:rFonts w:cs="OpenSymbol"/>
      <w:u w:val="none"/>
    </w:rPr>
  </w:style>
  <w:style w:type="character" w:styleId="ListLabel108">
    <w:name w:val="ListLabel 108"/>
    <w:qFormat/>
    <w:rPr>
      <w:rFonts w:cs="OpenSymbol"/>
      <w:u w:val="non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  <w:contextualSpacing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de" w:eastAsia="zh-CN" w:bidi="hi-IN"/>
    </w:rPr>
  </w:style>
  <w:style w:type="paragraph" w:styleId="Titel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Untertitel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LibreOffice/5.4.6.2$Windows_x86 LibreOffice_project/4014ce260a04f1026ba855d3b8d91541c224eab8</Application>
  <Pages>1</Pages>
  <Words>194</Words>
  <Characters>1455</Characters>
  <CharactersWithSpaces>1610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2018-09-13T09:05:54Z</dcterms:modified>
  <cp:revision>2</cp:revision>
  <dc:subject/>
  <dc:title/>
</cp:coreProperties>
</file>